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922" w:rsidRPr="0071264E" w:rsidRDefault="00EE0922" w:rsidP="00EE0922">
      <w:pPr>
        <w:pStyle w:val="Title"/>
      </w:pPr>
      <w:r w:rsidRPr="0071264E">
        <w:t xml:space="preserve">Transparency, Accountability, and Performance Website </w:t>
      </w:r>
    </w:p>
    <w:p w:rsidR="00EE0922" w:rsidRDefault="005C5AAA" w:rsidP="00EE0922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4394200</wp:posOffset>
            </wp:positionH>
            <wp:positionV relativeFrom="paragraph">
              <wp:posOffset>188595</wp:posOffset>
            </wp:positionV>
            <wp:extent cx="1549400" cy="1685925"/>
            <wp:effectExtent l="0" t="0" r="0" b="9525"/>
            <wp:wrapSquare wrapText="bothSides"/>
            <wp:docPr id="3" name="Picture 3" descr="Image result for Keep oregon mov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Keep oregon moving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922">
        <w:t>Overview</w:t>
      </w:r>
    </w:p>
    <w:p w:rsidR="00EE0922" w:rsidRPr="00722ED3" w:rsidRDefault="00EE0922" w:rsidP="00EE0922">
      <w:pPr>
        <w:pStyle w:val="BodyText"/>
        <w:rPr>
          <w:b/>
        </w:rPr>
      </w:pPr>
      <w:r>
        <w:t xml:space="preserve">HB 2017 (Keep Oregon Moving) Sections 11 and 12 require us to collect and display some performance and accountability information online. We’re calling this the Transparency, </w:t>
      </w:r>
      <w:r w:rsidRPr="00722ED3">
        <w:t>Accountability and Performance Website.</w:t>
      </w:r>
      <w:r w:rsidR="00CA312C" w:rsidRPr="00CA312C">
        <w:t xml:space="preserve"> </w:t>
      </w:r>
      <w:hyperlink r:id="rId8" w:history="1">
        <w:r w:rsidR="00CA312C" w:rsidRPr="00C352F7">
          <w:rPr>
            <w:rStyle w:val="Hyperlink"/>
          </w:rPr>
          <w:t>www.Oregon.gov/odot/T</w:t>
        </w:r>
        <w:r w:rsidR="00CA312C" w:rsidRPr="00C352F7">
          <w:rPr>
            <w:rStyle w:val="Hyperlink"/>
          </w:rPr>
          <w:t>A</w:t>
        </w:r>
        <w:r w:rsidR="00CA312C" w:rsidRPr="00C352F7">
          <w:rPr>
            <w:rStyle w:val="Hyperlink"/>
          </w:rPr>
          <w:t>P/</w:t>
        </w:r>
      </w:hyperlink>
      <w:r w:rsidR="00CA312C">
        <w:t xml:space="preserve"> </w:t>
      </w:r>
    </w:p>
    <w:p w:rsidR="00EE0922" w:rsidRDefault="00EE0922" w:rsidP="00EE0922">
      <w:pPr>
        <w:pStyle w:val="Heading1"/>
      </w:pPr>
      <w:r>
        <w:t>Requirements and Current Status</w:t>
      </w:r>
    </w:p>
    <w:p w:rsidR="00EE0922" w:rsidRPr="00E40085" w:rsidRDefault="00EE0922" w:rsidP="00EE0922">
      <w:pPr>
        <w:pStyle w:val="BodyText"/>
      </w:pPr>
      <w:r>
        <w:t>Keep Oregon Moving Sections 11 and 12 require ODOT to post or link to:</w:t>
      </w:r>
    </w:p>
    <w:p w:rsidR="00EE0922" w:rsidRDefault="00EE0922" w:rsidP="00EE0922">
      <w:pPr>
        <w:pStyle w:val="Heading2"/>
      </w:pPr>
      <w:r w:rsidRPr="00EE0922">
        <w:rPr>
          <w:b/>
        </w:rPr>
        <w:t>Bridge and pavement condition reports</w:t>
      </w:r>
      <w:r>
        <w:t xml:space="preserve"> </w:t>
      </w:r>
      <w:r w:rsidRPr="00402E78">
        <w:t>from cities, counties, and ODOT</w:t>
      </w:r>
    </w:p>
    <w:p w:rsidR="00EE0922" w:rsidRPr="00F107F6" w:rsidRDefault="00EE0922" w:rsidP="00EE0922">
      <w:pPr>
        <w:pStyle w:val="ListBullet"/>
        <w:rPr>
          <w:rFonts w:cs="Times New Roman"/>
        </w:rPr>
      </w:pPr>
      <w:r w:rsidRPr="00722ED3">
        <w:t>Work</w:t>
      </w:r>
      <w:r>
        <w:t>ed</w:t>
      </w:r>
      <w:r w:rsidRPr="00722ED3">
        <w:t xml:space="preserve"> with the Association of Oregon Counties and League of Oregon Cities</w:t>
      </w:r>
      <w:r>
        <w:t xml:space="preserve"> to</w:t>
      </w:r>
      <w:r w:rsidRPr="00722ED3">
        <w:t xml:space="preserve"> develo</w:t>
      </w:r>
      <w:r w:rsidR="00A1740D">
        <w:t>p bridge and pavement condition</w:t>
      </w:r>
      <w:r w:rsidRPr="00722ED3">
        <w:t xml:space="preserve"> reporting standards </w:t>
      </w:r>
      <w:r>
        <w:t>that were</w:t>
      </w:r>
      <w:r w:rsidRPr="00722ED3">
        <w:t xml:space="preserve"> approved by O</w:t>
      </w:r>
      <w:r>
        <w:t>regon Transportation Commission.</w:t>
      </w:r>
    </w:p>
    <w:p w:rsidR="00EE0922" w:rsidRPr="00F107F6" w:rsidRDefault="00EE0922" w:rsidP="00EE0922">
      <w:pPr>
        <w:pStyle w:val="ListBullet"/>
        <w:rPr>
          <w:rFonts w:cs="Times New Roman"/>
        </w:rPr>
      </w:pPr>
      <w:r>
        <w:t>Communicated with local agencies about reporting requirement, including providing a guide and a video to help agencies prepare for reporting</w:t>
      </w:r>
      <w:r w:rsidR="00CD01CC">
        <w:t>.</w:t>
      </w:r>
      <w:r>
        <w:t xml:space="preserve"> </w:t>
      </w:r>
    </w:p>
    <w:p w:rsidR="00EE0922" w:rsidRPr="00CA312C" w:rsidRDefault="00EE0922" w:rsidP="00EE0922">
      <w:pPr>
        <w:pStyle w:val="ListBullet"/>
        <w:rPr>
          <w:rFonts w:cstheme="minorBidi"/>
        </w:rPr>
      </w:pPr>
      <w:r>
        <w:t>Develop</w:t>
      </w:r>
      <w:r w:rsidR="00CA312C">
        <w:t xml:space="preserve">ed </w:t>
      </w:r>
      <w:r>
        <w:t xml:space="preserve">web form for collecting local agency condition reports. </w:t>
      </w:r>
    </w:p>
    <w:p w:rsidR="00CA312C" w:rsidRPr="00CA312C" w:rsidRDefault="00CA312C" w:rsidP="00A1740D">
      <w:pPr>
        <w:pStyle w:val="ListBullet"/>
        <w:rPr>
          <w:rFonts w:cstheme="minorBidi"/>
        </w:rPr>
      </w:pPr>
      <w:r>
        <w:t>Every city and county in Oregon completed the report by the February 1, 2019 deadline</w:t>
      </w:r>
      <w:r w:rsidR="00A1740D">
        <w:t xml:space="preserve"> and no agency had highway funds suspended</w:t>
      </w:r>
      <w:bookmarkStart w:id="0" w:name="_GoBack"/>
      <w:bookmarkEnd w:id="0"/>
      <w:r>
        <w:t xml:space="preserve">. </w:t>
      </w:r>
    </w:p>
    <w:p w:rsidR="00CA312C" w:rsidRPr="00CF786F" w:rsidRDefault="00CA312C" w:rsidP="00CA312C">
      <w:pPr>
        <w:pStyle w:val="ListBullet"/>
        <w:rPr>
          <w:rFonts w:cstheme="minorBidi"/>
        </w:rPr>
      </w:pPr>
      <w:r w:rsidRPr="00CA312C">
        <w:rPr>
          <w:rFonts w:cstheme="minorBidi"/>
        </w:rPr>
        <w:t xml:space="preserve">The Oregon Transportation Commission approved the </w:t>
      </w:r>
      <w:hyperlink r:id="rId9" w:history="1">
        <w:r w:rsidRPr="00CA312C">
          <w:rPr>
            <w:rStyle w:val="Hyperlink"/>
            <w:rFonts w:cstheme="minorBidi"/>
          </w:rPr>
          <w:t xml:space="preserve">2019 Oregon </w:t>
        </w:r>
        <w:r w:rsidRPr="00CA312C">
          <w:rPr>
            <w:rStyle w:val="Hyperlink"/>
            <w:rFonts w:cstheme="minorBidi"/>
          </w:rPr>
          <w:t>T</w:t>
        </w:r>
        <w:r w:rsidRPr="00CA312C">
          <w:rPr>
            <w:rStyle w:val="Hyperlink"/>
            <w:rFonts w:cstheme="minorBidi"/>
          </w:rPr>
          <w:t>ransportation Infrastructure Report</w:t>
        </w:r>
      </w:hyperlink>
      <w:r w:rsidRPr="00CA312C">
        <w:rPr>
          <w:rFonts w:cstheme="minorBidi"/>
        </w:rPr>
        <w:t xml:space="preserve"> at its March 2019 meeting and submitted it to the Oregon Legislature.</w:t>
      </w:r>
    </w:p>
    <w:p w:rsidR="00EE0922" w:rsidRPr="00402E78" w:rsidRDefault="00CA312C" w:rsidP="00EE0922">
      <w:pPr>
        <w:pStyle w:val="Heading2"/>
      </w:pPr>
      <w:r>
        <w:rPr>
          <w:b/>
        </w:rPr>
        <w:t>Project i</w:t>
      </w:r>
      <w:r w:rsidR="00EE0922" w:rsidRPr="00722ED3">
        <w:rPr>
          <w:b/>
        </w:rPr>
        <w:t xml:space="preserve">nformation </w:t>
      </w:r>
    </w:p>
    <w:p w:rsidR="00EE0922" w:rsidRDefault="00EE0922" w:rsidP="00CA312C">
      <w:pPr>
        <w:pStyle w:val="ListBullet"/>
      </w:pPr>
      <w:r>
        <w:t>ODOT’s Project Tracker map or project web pages include all required information</w:t>
      </w:r>
      <w:r w:rsidR="00CA312C">
        <w:t xml:space="preserve"> </w:t>
      </w:r>
      <w:r w:rsidR="00CA312C" w:rsidRPr="00CA312C">
        <w:t>on transportation projects in the Statewide Transportation Improvement Program</w:t>
      </w:r>
      <w:r w:rsidRPr="008E090C">
        <w:rPr>
          <w:i/>
        </w:rPr>
        <w:t>.</w:t>
      </w:r>
    </w:p>
    <w:p w:rsidR="00EE0922" w:rsidRDefault="00CA312C" w:rsidP="00CA312C">
      <w:pPr>
        <w:pStyle w:val="ListBullet"/>
      </w:pPr>
      <w:r>
        <w:t>A report with o</w:t>
      </w:r>
      <w:r w:rsidRPr="00CA312C">
        <w:t xml:space="preserve">n-time and on-budget information on completed projects </w:t>
      </w:r>
      <w:r>
        <w:t>is available on the website and is updated quarterly</w:t>
      </w:r>
      <w:r w:rsidR="00EE0922">
        <w:t xml:space="preserve">. </w:t>
      </w:r>
    </w:p>
    <w:p w:rsidR="00CA312C" w:rsidRPr="00B347FE" w:rsidRDefault="00CA312C" w:rsidP="00CA312C">
      <w:pPr>
        <w:pStyle w:val="ListBullet"/>
      </w:pPr>
      <w:r w:rsidRPr="00CA312C">
        <w:t>Project websites for city, county, and Connect Oregon transportation projects</w:t>
      </w:r>
      <w:r>
        <w:t xml:space="preserve"> are posted on the website</w:t>
      </w:r>
      <w:r>
        <w:t xml:space="preserve">. </w:t>
      </w:r>
    </w:p>
    <w:p w:rsidR="00EE0922" w:rsidRPr="00402E78" w:rsidRDefault="00EE0922" w:rsidP="00EE0922">
      <w:pPr>
        <w:pStyle w:val="Heading2"/>
      </w:pPr>
      <w:r w:rsidRPr="00722ED3">
        <w:rPr>
          <w:b/>
        </w:rPr>
        <w:t>C</w:t>
      </w:r>
      <w:r>
        <w:rPr>
          <w:b/>
        </w:rPr>
        <w:t>ity and</w:t>
      </w:r>
      <w:r w:rsidRPr="00722ED3">
        <w:rPr>
          <w:b/>
        </w:rPr>
        <w:t xml:space="preserve"> county transportation spending</w:t>
      </w:r>
      <w:r>
        <w:t xml:space="preserve"> </w:t>
      </w:r>
      <w:r w:rsidRPr="00EE0922">
        <w:rPr>
          <w:b/>
        </w:rPr>
        <w:t>reports</w:t>
      </w:r>
      <w:r>
        <w:t xml:space="preserve"> </w:t>
      </w:r>
      <w:r w:rsidRPr="00402E78">
        <w:t>from Association of Oregon Counties and League of Oregon Cities.</w:t>
      </w:r>
    </w:p>
    <w:p w:rsidR="00EE0922" w:rsidRDefault="00EE0922" w:rsidP="00EE0922">
      <w:pPr>
        <w:pStyle w:val="ListBullet"/>
      </w:pPr>
      <w:r>
        <w:t>LOC and AOC are required to report city and county transportation spending in various categories to the Legislative Assembly annually.</w:t>
      </w:r>
    </w:p>
    <w:p w:rsidR="00EE0922" w:rsidRPr="008E090C" w:rsidRDefault="00EE0922" w:rsidP="00EE0922">
      <w:pPr>
        <w:pStyle w:val="ListBullet"/>
      </w:pPr>
      <w:r>
        <w:t xml:space="preserve">ODOT </w:t>
      </w:r>
      <w:r w:rsidR="00CA312C">
        <w:t>worked</w:t>
      </w:r>
      <w:r>
        <w:t xml:space="preserve"> closely with AOC and LOC to ensure data is accessible and can be linked to.</w:t>
      </w:r>
    </w:p>
    <w:p w:rsidR="00EE0922" w:rsidRDefault="00EE0922" w:rsidP="00EE0922">
      <w:pPr>
        <w:pStyle w:val="Heading2"/>
        <w:rPr>
          <w:b/>
        </w:rPr>
      </w:pPr>
      <w:r w:rsidRPr="00722ED3">
        <w:rPr>
          <w:b/>
        </w:rPr>
        <w:t>Internal audit results</w:t>
      </w:r>
      <w:r>
        <w:t xml:space="preserve"> </w:t>
      </w:r>
      <w:r w:rsidRPr="00402E78">
        <w:t>approved by the Oregon Transportation Commission</w:t>
      </w:r>
    </w:p>
    <w:p w:rsidR="00EE0922" w:rsidRDefault="00EE0922" w:rsidP="00EE0922">
      <w:pPr>
        <w:pStyle w:val="ListBullet"/>
      </w:pPr>
      <w:r>
        <w:t>Work</w:t>
      </w:r>
      <w:r w:rsidR="00CA312C">
        <w:t>ed</w:t>
      </w:r>
      <w:r>
        <w:t xml:space="preserve"> with ODOT A</w:t>
      </w:r>
      <w:r w:rsidR="00CA312C">
        <w:t>udit Section to ensure reports a</w:t>
      </w:r>
      <w:r>
        <w:t xml:space="preserve">re posted. </w:t>
      </w:r>
    </w:p>
    <w:p w:rsidR="005B7165" w:rsidRPr="00EE0922" w:rsidRDefault="005B7165" w:rsidP="00A1740D">
      <w:pPr>
        <w:tabs>
          <w:tab w:val="left" w:pos="3705"/>
        </w:tabs>
      </w:pPr>
    </w:p>
    <w:sectPr w:rsidR="005B7165" w:rsidRPr="00EE0922" w:rsidSect="007525AA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008" w:right="1440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9E0" w:rsidRDefault="006E69E0">
      <w:r>
        <w:separator/>
      </w:r>
    </w:p>
  </w:endnote>
  <w:endnote w:type="continuationSeparator" w:id="0">
    <w:p w:rsidR="006E69E0" w:rsidRDefault="006E6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EA0" w:rsidRDefault="00EE0922" w:rsidP="003C7CF2">
    <w:pPr>
      <w:pStyle w:val="Footer"/>
      <w:pBdr>
        <w:top w:val="thinThickThinSmallGap" w:sz="24" w:space="1" w:color="000080"/>
      </w:pBdr>
      <w:jc w:val="center"/>
      <w:rPr>
        <w:rFonts w:ascii="Century Gothic" w:hAnsi="Century Gothic"/>
        <w:b/>
        <w:sz w:val="20"/>
        <w:szCs w:val="20"/>
      </w:rPr>
    </w:pPr>
    <w:r>
      <w:rPr>
        <w:rFonts w:ascii="Century Gothic" w:hAnsi="Century Gothic"/>
        <w:b/>
        <w:sz w:val="20"/>
        <w:szCs w:val="20"/>
      </w:rPr>
      <w:t>September 28, 2018</w:t>
    </w:r>
  </w:p>
  <w:p w:rsidR="005C5AAA" w:rsidRPr="003C7CF2" w:rsidRDefault="005C5AAA" w:rsidP="005C5AAA">
    <w:pPr>
      <w:pStyle w:val="Footer"/>
      <w:pBdr>
        <w:top w:val="thinThickThinSmallGap" w:sz="24" w:space="1" w:color="000080"/>
      </w:pBdr>
      <w:tabs>
        <w:tab w:val="clear" w:pos="4320"/>
        <w:tab w:val="center" w:pos="4680"/>
      </w:tabs>
      <w:jc w:val="center"/>
      <w:rPr>
        <w:rFonts w:ascii="Century Gothic" w:hAnsi="Century Gothic"/>
        <w:b/>
        <w:sz w:val="20"/>
        <w:szCs w:val="20"/>
      </w:rPr>
    </w:pPr>
    <w:r w:rsidRPr="005C5AAA">
      <w:rPr>
        <w:rFonts w:ascii="Century Gothic" w:hAnsi="Century Gothic"/>
        <w:b/>
        <w:sz w:val="20"/>
        <w:szCs w:val="20"/>
      </w:rPr>
      <w:t>https://www.oregon.gov/ODOT/Pages/KOM-Local-Govt.aspx</w:t>
    </w:r>
  </w:p>
  <w:p w:rsidR="00E56EA0" w:rsidRDefault="005C5AAA" w:rsidP="009E1C1B">
    <w:pPr>
      <w:pStyle w:val="Foot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2508250</wp:posOffset>
          </wp:positionH>
          <wp:positionV relativeFrom="paragraph">
            <wp:posOffset>22860</wp:posOffset>
          </wp:positionV>
          <wp:extent cx="1009650" cy="311785"/>
          <wp:effectExtent l="0" t="0" r="0" b="0"/>
          <wp:wrapSquare wrapText="bothSides"/>
          <wp:docPr id="1" name="Picture 1" descr="flying t with wor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ying t with word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311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A62" w:rsidRPr="003C7CF2" w:rsidRDefault="00CA312C" w:rsidP="00CD4A62">
    <w:pPr>
      <w:pStyle w:val="Footer"/>
      <w:pBdr>
        <w:top w:val="thinThickThinSmallGap" w:sz="24" w:space="1" w:color="000080"/>
      </w:pBdr>
      <w:jc w:val="center"/>
      <w:rPr>
        <w:rFonts w:ascii="Century Gothic" w:hAnsi="Century Gothic"/>
        <w:b/>
        <w:sz w:val="20"/>
        <w:szCs w:val="20"/>
      </w:rPr>
    </w:pPr>
    <w:r>
      <w:rPr>
        <w:rFonts w:ascii="Century Gothic" w:hAnsi="Century Gothic"/>
        <w:b/>
        <w:sz w:val="20"/>
        <w:szCs w:val="20"/>
      </w:rPr>
      <w:t>April 1, 2019</w:t>
    </w:r>
  </w:p>
  <w:p w:rsidR="00CD4A62" w:rsidRDefault="00E57050" w:rsidP="00091EDC">
    <w:pPr>
      <w:pStyle w:val="Footer"/>
      <w:jc w:val="right"/>
    </w:pPr>
    <w:r>
      <w:rPr>
        <w:noProof/>
      </w:rPr>
      <w:drawing>
        <wp:inline distT="0" distB="0" distL="0" distR="0">
          <wp:extent cx="1259840" cy="386080"/>
          <wp:effectExtent l="0" t="0" r="0" b="0"/>
          <wp:docPr id="2" name="Picture 2" descr="flying t with wor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lying t with word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9E0" w:rsidRDefault="006E69E0">
      <w:r>
        <w:separator/>
      </w:r>
    </w:p>
  </w:footnote>
  <w:footnote w:type="continuationSeparator" w:id="0">
    <w:p w:rsidR="006E69E0" w:rsidRDefault="006E6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5AA" w:rsidRPr="007525AA" w:rsidRDefault="007525AA" w:rsidP="007525AA">
    <w:pPr>
      <w:pStyle w:val="Header"/>
      <w:rPr>
        <w:rFonts w:ascii="Century Gothic" w:hAnsi="Century Gothic" w:cs="Tahoma"/>
        <w:color w:val="000080"/>
        <w:sz w:val="20"/>
        <w:szCs w:val="20"/>
      </w:rPr>
    </w:pPr>
    <w:r w:rsidRPr="007525AA">
      <w:rPr>
        <w:rFonts w:ascii="Century Gothic" w:hAnsi="Century Gothic" w:cs="Tahoma"/>
        <w:color w:val="000080"/>
        <w:sz w:val="20"/>
        <w:szCs w:val="20"/>
      </w:rPr>
      <w:t>Page 2</w:t>
    </w:r>
  </w:p>
  <w:p w:rsidR="00E56EA0" w:rsidRDefault="00E56EA0" w:rsidP="00CD4A62">
    <w:pPr>
      <w:pStyle w:val="Header"/>
      <w:pBdr>
        <w:bottom w:val="single" w:sz="6" w:space="1" w:color="000080"/>
      </w:pBdr>
      <w:jc w:val="right"/>
      <w:rPr>
        <w:rFonts w:ascii="Century Gothic" w:hAnsi="Century Gothic" w:cs="Tahoma"/>
        <w:b/>
        <w:sz w:val="48"/>
        <w:szCs w:val="48"/>
      </w:rPr>
    </w:pPr>
    <w:r w:rsidRPr="009B12E4">
      <w:rPr>
        <w:rFonts w:ascii="Century Gothic" w:hAnsi="Century Gothic" w:cs="Tahoma"/>
        <w:b/>
        <w:color w:val="000080"/>
        <w:sz w:val="48"/>
        <w:szCs w:val="48"/>
      </w:rPr>
      <w:t>Project Facts</w:t>
    </w:r>
  </w:p>
  <w:p w:rsidR="00E56EA0" w:rsidRPr="00DA201C" w:rsidRDefault="00E56EA0" w:rsidP="00A45275">
    <w:pPr>
      <w:pStyle w:val="Header"/>
      <w:jc w:val="right"/>
      <w:rPr>
        <w:rFonts w:ascii="Century Gothic" w:hAnsi="Century Gothic" w:cs="Tahoma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5AA" w:rsidRDefault="007525AA" w:rsidP="007525AA">
    <w:pPr>
      <w:pStyle w:val="Header"/>
      <w:jc w:val="right"/>
      <w:rPr>
        <w:rFonts w:ascii="Century Gothic" w:hAnsi="Century Gothic" w:cs="Tahoma"/>
        <w:b/>
        <w:color w:val="000080"/>
        <w:sz w:val="48"/>
        <w:szCs w:val="48"/>
      </w:rPr>
    </w:pPr>
    <w:r w:rsidRPr="009B12E4">
      <w:rPr>
        <w:rFonts w:ascii="Century Gothic" w:hAnsi="Century Gothic" w:cs="Tahoma"/>
        <w:b/>
        <w:color w:val="000080"/>
        <w:sz w:val="48"/>
        <w:szCs w:val="48"/>
      </w:rPr>
      <w:t>Project Facts</w:t>
    </w:r>
  </w:p>
  <w:p w:rsidR="007525AA" w:rsidRPr="007525AA" w:rsidRDefault="007525AA" w:rsidP="007525AA">
    <w:pPr>
      <w:pStyle w:val="Header"/>
      <w:jc w:val="right"/>
      <w:rPr>
        <w:rFonts w:ascii="Century Gothic" w:hAnsi="Century Gothic" w:cs="Tahoma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96CF3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896248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43CA4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FC9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F3A9C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440A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A497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067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B876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42F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80DFC"/>
    <w:multiLevelType w:val="hybridMultilevel"/>
    <w:tmpl w:val="45064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6F7C13"/>
    <w:multiLevelType w:val="hybridMultilevel"/>
    <w:tmpl w:val="C22E1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A3171"/>
    <w:multiLevelType w:val="hybridMultilevel"/>
    <w:tmpl w:val="A686E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583EEE"/>
    <w:multiLevelType w:val="hybridMultilevel"/>
    <w:tmpl w:val="CDCCA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8A7E62"/>
    <w:multiLevelType w:val="hybridMultilevel"/>
    <w:tmpl w:val="848EB808"/>
    <w:lvl w:ilvl="0" w:tplc="7C38134E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7D2A88"/>
    <w:multiLevelType w:val="hybridMultilevel"/>
    <w:tmpl w:val="B0180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E62E17"/>
    <w:multiLevelType w:val="hybridMultilevel"/>
    <w:tmpl w:val="EB9C3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3"/>
  </w:num>
  <w:num w:numId="14">
    <w:abstractNumId w:val="16"/>
  </w:num>
  <w:num w:numId="15">
    <w:abstractNumId w:val="10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02"/>
    <w:rsid w:val="00091EDC"/>
    <w:rsid w:val="00193F02"/>
    <w:rsid w:val="003B70B8"/>
    <w:rsid w:val="003C7CF2"/>
    <w:rsid w:val="00404F56"/>
    <w:rsid w:val="004677D5"/>
    <w:rsid w:val="005806B5"/>
    <w:rsid w:val="005A5787"/>
    <w:rsid w:val="005B7165"/>
    <w:rsid w:val="005C5AAA"/>
    <w:rsid w:val="00601E5F"/>
    <w:rsid w:val="006E69E0"/>
    <w:rsid w:val="007525AA"/>
    <w:rsid w:val="00866CC3"/>
    <w:rsid w:val="00951A7B"/>
    <w:rsid w:val="009B12E4"/>
    <w:rsid w:val="009E1C1B"/>
    <w:rsid w:val="00A1740D"/>
    <w:rsid w:val="00A45275"/>
    <w:rsid w:val="00AA6B19"/>
    <w:rsid w:val="00B82477"/>
    <w:rsid w:val="00C20C4F"/>
    <w:rsid w:val="00CA312C"/>
    <w:rsid w:val="00CD01CC"/>
    <w:rsid w:val="00CD4A62"/>
    <w:rsid w:val="00D3267B"/>
    <w:rsid w:val="00D8484F"/>
    <w:rsid w:val="00DA201C"/>
    <w:rsid w:val="00DB030F"/>
    <w:rsid w:val="00E26430"/>
    <w:rsid w:val="00E56EA0"/>
    <w:rsid w:val="00E57050"/>
    <w:rsid w:val="00EE0922"/>
    <w:rsid w:val="00F251E3"/>
    <w:rsid w:val="00FB2677"/>
    <w:rsid w:val="00FD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301564AB"/>
  <w15:docId w15:val="{EE1B8CC2-E6AE-4758-AFCD-823EA90C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922"/>
    <w:rPr>
      <w:sz w:val="24"/>
      <w:szCs w:val="24"/>
    </w:rPr>
  </w:style>
  <w:style w:type="paragraph" w:styleId="Heading1">
    <w:name w:val="heading 1"/>
    <w:basedOn w:val="Normal"/>
    <w:next w:val="Normal"/>
    <w:qFormat/>
    <w:rsid w:val="005A5787"/>
    <w:pPr>
      <w:spacing w:before="240"/>
      <w:outlineLvl w:val="0"/>
    </w:pPr>
    <w:rPr>
      <w:rFonts w:ascii="Arial" w:hAnsi="Arial" w:cs="Arial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E0922"/>
    <w:pPr>
      <w:keepNext/>
      <w:keepLines/>
      <w:spacing w:before="120"/>
      <w:outlineLvl w:val="1"/>
    </w:pPr>
    <w:rPr>
      <w:rFonts w:ascii="Arial" w:eastAsiaTheme="majorEastAsia" w:hAnsi="Arial" w:cstheme="majorBidi"/>
      <w:color w:val="000080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E092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52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527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unhideWhenUsed/>
    <w:rsid w:val="005A5787"/>
    <w:pPr>
      <w:spacing w:after="24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5A5787"/>
    <w:rPr>
      <w:rFonts w:ascii="Arial" w:hAnsi="Arial" w:cs="Arial"/>
      <w:sz w:val="24"/>
      <w:szCs w:val="24"/>
    </w:rPr>
  </w:style>
  <w:style w:type="paragraph" w:styleId="ListBullet">
    <w:name w:val="List Bullet"/>
    <w:basedOn w:val="Normal"/>
    <w:unhideWhenUsed/>
    <w:rsid w:val="00EE0922"/>
    <w:pPr>
      <w:numPr>
        <w:numId w:val="1"/>
      </w:numPr>
      <w:spacing w:line="264" w:lineRule="auto"/>
    </w:pPr>
    <w:rPr>
      <w:rFonts w:ascii="Arial" w:hAnsi="Arial" w:cs="Arial"/>
    </w:rPr>
  </w:style>
  <w:style w:type="paragraph" w:customStyle="1" w:styleId="Nospace">
    <w:name w:val="No space"/>
    <w:basedOn w:val="Normal"/>
    <w:qFormat/>
    <w:rsid w:val="005A5787"/>
    <w:rPr>
      <w:rFonts w:ascii="Arial" w:hAnsi="Arial"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5A5787"/>
    <w:pPr>
      <w:shd w:val="clear" w:color="auto" w:fill="000080"/>
      <w:jc w:val="center"/>
    </w:pPr>
    <w:rPr>
      <w:rFonts w:ascii="Arial" w:hAnsi="Arial" w:cs="Arial"/>
      <w:color w:val="FFFFFF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5A5787"/>
    <w:rPr>
      <w:rFonts w:ascii="Arial" w:hAnsi="Arial" w:cs="Arial"/>
      <w:color w:val="FFFFFF"/>
      <w:sz w:val="36"/>
      <w:szCs w:val="36"/>
      <w:shd w:val="clear" w:color="auto" w:fill="000080"/>
    </w:rPr>
  </w:style>
  <w:style w:type="character" w:customStyle="1" w:styleId="Heading5Char">
    <w:name w:val="Heading 5 Char"/>
    <w:basedOn w:val="DefaultParagraphFont"/>
    <w:link w:val="Heading5"/>
    <w:semiHidden/>
    <w:rsid w:val="00EE092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EE0922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0922"/>
    <w:pPr>
      <w:numPr>
        <w:ilvl w:val="1"/>
      </w:numPr>
      <w:spacing w:after="160"/>
    </w:pPr>
    <w:rPr>
      <w:rFonts w:asciiTheme="majorHAnsi" w:eastAsiaTheme="majorEastAsia" w:hAnsiTheme="majorHAnsi" w:cstheme="majorBidi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E0922"/>
    <w:rPr>
      <w:rFonts w:asciiTheme="majorHAnsi" w:eastAsiaTheme="majorEastAsia" w:hAnsiTheme="majorHAnsi" w:cstheme="maj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E09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922"/>
    <w:pPr>
      <w:spacing w:after="16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922"/>
    <w:rPr>
      <w:rFonts w:asciiTheme="minorHAnsi" w:eastAsiaTheme="minorEastAsia" w:hAnsiTheme="minorHAnsi" w:cstheme="minorBidi"/>
    </w:rPr>
  </w:style>
  <w:style w:type="paragraph" w:styleId="BalloonText">
    <w:name w:val="Balloon Text"/>
    <w:basedOn w:val="Normal"/>
    <w:link w:val="BalloonTextChar"/>
    <w:semiHidden/>
    <w:unhideWhenUsed/>
    <w:rsid w:val="00EE09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E0922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E0922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E0922"/>
    <w:rPr>
      <w:rFonts w:asciiTheme="minorHAnsi" w:eastAsiaTheme="minorEastAsia" w:hAnsiTheme="minorHAnsi" w:cstheme="minorBidi"/>
      <w:b/>
      <w:bCs/>
    </w:rPr>
  </w:style>
  <w:style w:type="character" w:customStyle="1" w:styleId="Heading2Char">
    <w:name w:val="Heading 2 Char"/>
    <w:basedOn w:val="DefaultParagraphFont"/>
    <w:link w:val="Heading2"/>
    <w:rsid w:val="00EE0922"/>
    <w:rPr>
      <w:rFonts w:ascii="Arial" w:eastAsiaTheme="majorEastAsia" w:hAnsi="Arial" w:cstheme="majorBidi"/>
      <w:color w:val="000080"/>
      <w:sz w:val="24"/>
      <w:szCs w:val="26"/>
    </w:rPr>
  </w:style>
  <w:style w:type="character" w:styleId="Hyperlink">
    <w:name w:val="Hyperlink"/>
    <w:basedOn w:val="DefaultParagraphFont"/>
    <w:unhideWhenUsed/>
    <w:rsid w:val="00CA312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CA3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gon.gov/odot/TAP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oregon.gov/ODOT/TAP/Documents/MARCH2019_StateTransportationInfrastructureConditionReport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Project Goes Here – Highlight this text with your cursor and type in the name of your project</vt:lpstr>
    </vt:vector>
  </TitlesOfParts>
  <Company>ODOT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Project Goes Here – Highlight this text with your cursor and type in the name of your project</dc:title>
  <dc:creator>odot21g</dc:creator>
  <cp:lastModifiedBy>CHADDERDON Sarah J</cp:lastModifiedBy>
  <cp:revision>5</cp:revision>
  <cp:lastPrinted>1901-01-01T07:00:00Z</cp:lastPrinted>
  <dcterms:created xsi:type="dcterms:W3CDTF">2018-09-28T18:06:00Z</dcterms:created>
  <dcterms:modified xsi:type="dcterms:W3CDTF">2019-04-23T22:43:00Z</dcterms:modified>
</cp:coreProperties>
</file>